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01633B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29C8FFE0" w14:textId="77777777" w:rsidR="0045332C" w:rsidRPr="00005738" w:rsidRDefault="0045332C" w:rsidP="0045332C">
                  <w:pPr>
                    <w:spacing w:before="7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color w:val="0E0E0E"/>
                      <w:w w:val="105"/>
                      <w:sz w:val="17"/>
                      <w:szCs w:val="17"/>
                    </w:rPr>
                    <w:t>Liz Hamilton, Chair</w:t>
                  </w:r>
                </w:p>
                <w:p w14:paraId="1F0D0453" w14:textId="77777777" w:rsidR="0045332C" w:rsidRPr="00005738" w:rsidRDefault="0045332C" w:rsidP="0045332C">
                  <w:pPr>
                    <w:pStyle w:val="BodyText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Caedy Minoletti, Vice-Chair</w:t>
                  </w:r>
                </w:p>
                <w:p w14:paraId="516BB6B9" w14:textId="77777777" w:rsidR="00056E5D" w:rsidRDefault="00056E5D" w:rsidP="0045332C">
                  <w:pPr>
                    <w:spacing w:line="252" w:lineRule="auto"/>
                    <w:ind w:left="45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</w:p>
                <w:p w14:paraId="2C4DB77E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Noel O’Neill</w:t>
                  </w:r>
                </w:p>
                <w:p w14:paraId="3C851FE9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77777777" w:rsidR="00765C6A" w:rsidRPr="00005738" w:rsidRDefault="00765C6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33B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01633B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77777777" w:rsidR="00F624E2" w:rsidRDefault="003B38A4" w:rsidP="00F624E2">
      <w:pPr>
        <w:jc w:val="center"/>
        <w:rPr>
          <w:b/>
        </w:rPr>
      </w:pPr>
      <w:r>
        <w:rPr>
          <w:b/>
        </w:rPr>
        <w:t xml:space="preserve">PUBLIC HEARING &amp; </w:t>
      </w:r>
      <w:r w:rsidR="0045332C" w:rsidRPr="0045332C">
        <w:rPr>
          <w:b/>
        </w:rPr>
        <w:t>MEETING AGENDA</w:t>
      </w:r>
    </w:p>
    <w:p w14:paraId="56507B5F" w14:textId="1EF228E1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35366B">
        <w:rPr>
          <w:b/>
          <w:color w:val="0E0E0E"/>
        </w:rPr>
        <w:t>September 1</w:t>
      </w:r>
      <w:r w:rsidR="003F6EC6">
        <w:rPr>
          <w:b/>
          <w:color w:val="0E0E0E"/>
        </w:rPr>
        <w:t>0</w:t>
      </w:r>
      <w:r w:rsidR="0045332C" w:rsidRPr="008615E4">
        <w:rPr>
          <w:b/>
          <w:color w:val="0E0E0E"/>
        </w:rPr>
        <w:t>, 201</w:t>
      </w:r>
      <w:r w:rsidR="00E5333D" w:rsidRPr="008615E4">
        <w:rPr>
          <w:b/>
          <w:color w:val="0E0E0E"/>
        </w:rPr>
        <w:t>8</w:t>
      </w:r>
      <w:r w:rsidR="0045332C" w:rsidRPr="008615E4">
        <w:rPr>
          <w:b/>
          <w:color w:val="0E0E0E"/>
        </w:rPr>
        <w:t xml:space="preserve"> </w:t>
      </w:r>
      <w:r w:rsidR="003500FF" w:rsidRPr="008615E4">
        <w:rPr>
          <w:color w:val="0E0E0E"/>
        </w:rPr>
        <w:t>–</w:t>
      </w:r>
      <w:r w:rsidR="0045332C" w:rsidRPr="008615E4">
        <w:rPr>
          <w:color w:val="0E0E0E"/>
        </w:rPr>
        <w:t xml:space="preserve"> </w:t>
      </w:r>
      <w:r w:rsidR="008615E4">
        <w:rPr>
          <w:b/>
          <w:color w:val="0E0E0E"/>
        </w:rPr>
        <w:t>2:30-4:</w:t>
      </w:r>
      <w:r w:rsidR="00064792">
        <w:rPr>
          <w:b/>
          <w:color w:val="0E0E0E"/>
        </w:rPr>
        <w:t>3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899BC6F" w14:textId="673147B6" w:rsidR="0045332C" w:rsidRPr="002F1538" w:rsidRDefault="006A7A2B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 xml:space="preserve">111 Mountain View Street, </w:t>
      </w:r>
      <w:r w:rsidR="0045332C">
        <w:rPr>
          <w:b/>
          <w:color w:val="0E0E0E"/>
        </w:rPr>
        <w:t>Weaverville, CA 96093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59E45ADD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01633B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38174F6E" w14:textId="7691EC7A" w:rsidR="004F323E" w:rsidRDefault="0045332C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>Approval</w:t>
      </w:r>
      <w:r>
        <w:rPr>
          <w:b/>
          <w:color w:val="0E0E0E"/>
          <w:spacing w:val="-3"/>
        </w:rPr>
        <w:t xml:space="preserve"> </w:t>
      </w:r>
      <w:r>
        <w:rPr>
          <w:b/>
          <w:color w:val="0E0E0E"/>
        </w:rPr>
        <w:t>of</w:t>
      </w:r>
      <w:r>
        <w:rPr>
          <w:b/>
          <w:color w:val="0E0E0E"/>
          <w:spacing w:val="-14"/>
        </w:rPr>
        <w:t xml:space="preserve"> </w:t>
      </w:r>
      <w:r>
        <w:rPr>
          <w:b/>
          <w:color w:val="0E0E0E"/>
        </w:rPr>
        <w:t>meeting</w:t>
      </w:r>
      <w:r>
        <w:rPr>
          <w:b/>
          <w:color w:val="0E0E0E"/>
          <w:spacing w:val="-8"/>
        </w:rPr>
        <w:t xml:space="preserve"> </w:t>
      </w:r>
      <w:r>
        <w:rPr>
          <w:b/>
          <w:color w:val="0E0E0E"/>
        </w:rPr>
        <w:t>minutes</w:t>
      </w:r>
      <w:r>
        <w:rPr>
          <w:b/>
          <w:color w:val="0E0E0E"/>
          <w:spacing w:val="-7"/>
        </w:rPr>
        <w:t xml:space="preserve"> </w:t>
      </w:r>
      <w:r>
        <w:rPr>
          <w:b/>
          <w:color w:val="0E0E0E"/>
        </w:rPr>
        <w:t>from</w:t>
      </w:r>
      <w:r>
        <w:rPr>
          <w:b/>
          <w:color w:val="0E0E0E"/>
          <w:spacing w:val="-12"/>
        </w:rPr>
        <w:t xml:space="preserve"> </w:t>
      </w:r>
      <w:r w:rsidR="003A3705">
        <w:rPr>
          <w:b/>
          <w:color w:val="0E0E0E"/>
          <w:spacing w:val="-12"/>
        </w:rPr>
        <w:t>the</w:t>
      </w:r>
      <w:r w:rsidR="00E5333D">
        <w:rPr>
          <w:b/>
          <w:color w:val="0E0E0E"/>
          <w:spacing w:val="-12"/>
        </w:rPr>
        <w:t xml:space="preserve"> </w:t>
      </w:r>
      <w:r w:rsidR="008615E4">
        <w:rPr>
          <w:b/>
          <w:color w:val="0E0E0E"/>
        </w:rPr>
        <w:t>June 4</w:t>
      </w:r>
      <w:r w:rsidR="00915C8E">
        <w:rPr>
          <w:b/>
          <w:color w:val="0E0E0E"/>
        </w:rPr>
        <w:t>, 2018</w:t>
      </w:r>
      <w:r w:rsidR="006A7A2B">
        <w:rPr>
          <w:b/>
          <w:color w:val="0E0E0E"/>
        </w:rPr>
        <w:t xml:space="preserve"> Com</w:t>
      </w:r>
      <w:r>
        <w:rPr>
          <w:b/>
          <w:color w:val="0E0E0E"/>
        </w:rPr>
        <w:t>mission meeting</w:t>
      </w:r>
    </w:p>
    <w:p w14:paraId="7E5C85CC" w14:textId="77777777" w:rsidR="004F323E" w:rsidRDefault="004F323E" w:rsidP="004F323E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1C8557C0" w14:textId="6D9DF7B5" w:rsidR="00D96E88" w:rsidRDefault="00F624E2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sz w:val="21"/>
        </w:rPr>
      </w:pPr>
      <w:r>
        <w:rPr>
          <w:b/>
        </w:rPr>
        <w:t>4</w:t>
      </w:r>
      <w:r w:rsidR="006A7A2B" w:rsidRPr="004F323E">
        <w:rPr>
          <w:b/>
        </w:rPr>
        <w:t>)</w:t>
      </w:r>
      <w:r w:rsidR="006A7A2B" w:rsidRPr="004F323E">
        <w:rPr>
          <w:b/>
          <w:sz w:val="21"/>
        </w:rPr>
        <w:t xml:space="preserve">   </w:t>
      </w:r>
      <w:r w:rsidR="00D96E88">
        <w:rPr>
          <w:b/>
          <w:sz w:val="21"/>
        </w:rPr>
        <w:t>Review</w:t>
      </w:r>
      <w:r w:rsidR="002D4BAE">
        <w:rPr>
          <w:b/>
          <w:sz w:val="21"/>
        </w:rPr>
        <w:t xml:space="preserve"> and Approve</w:t>
      </w:r>
      <w:r w:rsidR="00D96E88">
        <w:rPr>
          <w:b/>
          <w:sz w:val="21"/>
        </w:rPr>
        <w:t xml:space="preserve"> </w:t>
      </w:r>
      <w:r w:rsidR="008615E4">
        <w:rPr>
          <w:b/>
          <w:sz w:val="21"/>
        </w:rPr>
        <w:t>Contract with Design Innovation</w:t>
      </w:r>
      <w:r w:rsidR="0035366B">
        <w:rPr>
          <w:b/>
          <w:sz w:val="21"/>
        </w:rPr>
        <w:t>s</w:t>
      </w:r>
      <w:r w:rsidR="008615E4">
        <w:rPr>
          <w:b/>
          <w:sz w:val="21"/>
        </w:rPr>
        <w:t xml:space="preserve"> for Theater Advertising</w:t>
      </w:r>
    </w:p>
    <w:p w14:paraId="64641490" w14:textId="77777777" w:rsidR="00D96E88" w:rsidRDefault="00D96E88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color w:val="0E0E0E"/>
        </w:rPr>
      </w:pPr>
    </w:p>
    <w:p w14:paraId="57C69ECF" w14:textId="31E60FBE" w:rsidR="00BF4DCC" w:rsidRDefault="00F624E2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color w:val="0E0E0E"/>
        </w:rPr>
      </w:pPr>
      <w:r>
        <w:rPr>
          <w:b/>
          <w:color w:val="0E0E0E"/>
        </w:rPr>
        <w:t>5</w:t>
      </w:r>
      <w:r w:rsidR="00D96E88">
        <w:rPr>
          <w:b/>
          <w:color w:val="0E0E0E"/>
        </w:rPr>
        <w:t xml:space="preserve">)  </w:t>
      </w:r>
      <w:r w:rsidR="008615E4">
        <w:rPr>
          <w:b/>
          <w:color w:val="0E0E0E"/>
        </w:rPr>
        <w:t>Review and Approve Contract with Kelly Rizzi for ACEs training</w:t>
      </w:r>
    </w:p>
    <w:p w14:paraId="61F6C93C" w14:textId="5392DB23" w:rsidR="008F604C" w:rsidRDefault="008F604C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color w:val="0E0E0E"/>
        </w:rPr>
      </w:pPr>
    </w:p>
    <w:p w14:paraId="43EDAD79" w14:textId="1024F40B" w:rsidR="008F604C" w:rsidRDefault="008F604C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color w:val="0E0E0E"/>
        </w:rPr>
      </w:pPr>
      <w:r>
        <w:rPr>
          <w:b/>
          <w:color w:val="0E0E0E"/>
        </w:rPr>
        <w:t>6)  Review and Approve an augmentation to the Trinity Food Outreach Contract for Stipends</w:t>
      </w:r>
    </w:p>
    <w:p w14:paraId="11B1D8C8" w14:textId="77777777" w:rsidR="00BF4DCC" w:rsidRDefault="00BF4DCC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color w:val="0E0E0E"/>
        </w:rPr>
      </w:pPr>
    </w:p>
    <w:p w14:paraId="5A5B75E6" w14:textId="18E393CC" w:rsidR="0045332C" w:rsidRPr="00D96E88" w:rsidRDefault="008615E4" w:rsidP="008615E4">
      <w:pPr>
        <w:pStyle w:val="ListParagraph"/>
        <w:tabs>
          <w:tab w:val="left" w:pos="1233"/>
          <w:tab w:val="left" w:pos="1350"/>
        </w:tabs>
        <w:ind w:left="270" w:firstLine="0"/>
        <w:rPr>
          <w:b/>
        </w:rPr>
      </w:pPr>
      <w:r>
        <w:rPr>
          <w:b/>
          <w:color w:val="0E0E0E"/>
        </w:rPr>
        <w:t>6</w:t>
      </w:r>
      <w:r w:rsidR="00366D9F">
        <w:rPr>
          <w:b/>
          <w:color w:val="0E0E0E"/>
        </w:rPr>
        <w:t xml:space="preserve">)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4300E42F" w14:textId="350D9502" w:rsidR="00655BCA" w:rsidRDefault="008615E4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>Year</w:t>
      </w:r>
      <w:r w:rsidR="00064792">
        <w:rPr>
          <w:color w:val="0E0E0E"/>
          <w:w w:val="105"/>
          <w:sz w:val="21"/>
        </w:rPr>
        <w:t>-</w:t>
      </w:r>
      <w:r>
        <w:rPr>
          <w:color w:val="0E0E0E"/>
          <w:w w:val="105"/>
          <w:sz w:val="21"/>
        </w:rPr>
        <w:t>end SPCFA Required documents</w:t>
      </w:r>
    </w:p>
    <w:p w14:paraId="344BC809" w14:textId="34123438" w:rsidR="00547A8F" w:rsidRDefault="00BF4DCC" w:rsidP="002D4BAE">
      <w:pPr>
        <w:pStyle w:val="BodyText"/>
        <w:ind w:left="990" w:hanging="270"/>
        <w:rPr>
          <w:color w:val="0E0E0E"/>
          <w:w w:val="105"/>
          <w:sz w:val="21"/>
        </w:rPr>
      </w:pPr>
      <w:r>
        <w:rPr>
          <w:sz w:val="21"/>
          <w:szCs w:val="21"/>
        </w:rPr>
        <w:t>c</w:t>
      </w:r>
      <w:r w:rsidR="002046ED" w:rsidRPr="002046ED">
        <w:rPr>
          <w:sz w:val="21"/>
          <w:szCs w:val="21"/>
        </w:rPr>
        <w:t xml:space="preserve">)  </w:t>
      </w:r>
      <w:r w:rsidR="00064792">
        <w:rPr>
          <w:color w:val="0E0E0E"/>
          <w:w w:val="105"/>
          <w:sz w:val="21"/>
        </w:rPr>
        <w:t>Outcomes of FY 2017/18 Grantees, as reported</w:t>
      </w:r>
      <w:r w:rsidR="00547A8F" w:rsidRPr="00547A8F">
        <w:rPr>
          <w:color w:val="0E0E0E"/>
          <w:w w:val="105"/>
          <w:sz w:val="21"/>
        </w:rPr>
        <w:t xml:space="preserve"> </w:t>
      </w:r>
    </w:p>
    <w:p w14:paraId="2F0C2227" w14:textId="61105433" w:rsidR="0045332C" w:rsidRPr="00EA33A2" w:rsidRDefault="00BF4DC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  <w:r>
        <w:rPr>
          <w:sz w:val="21"/>
          <w:szCs w:val="21"/>
        </w:rPr>
        <w:t xml:space="preserve"> </w:t>
      </w:r>
    </w:p>
    <w:p w14:paraId="53899DBA" w14:textId="3CF04F12" w:rsidR="002046ED" w:rsidRDefault="00745042" w:rsidP="00745042">
      <w:pPr>
        <w:tabs>
          <w:tab w:val="left" w:pos="36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  </w:t>
      </w:r>
      <w:r w:rsidR="00064792">
        <w:rPr>
          <w:b/>
          <w:color w:val="0E0E0E"/>
        </w:rPr>
        <w:t>7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7777777" w:rsidR="002046ED" w:rsidRDefault="002046ED" w:rsidP="00745042">
      <w:pPr>
        <w:tabs>
          <w:tab w:val="left" w:pos="1260"/>
        </w:tabs>
        <w:ind w:left="360"/>
        <w:rPr>
          <w:b/>
          <w:color w:val="0E0E0E"/>
        </w:rPr>
      </w:pPr>
    </w:p>
    <w:p w14:paraId="7ACD7B6E" w14:textId="43D4A035" w:rsidR="0045332C" w:rsidRDefault="00745042" w:rsidP="003500FF">
      <w:pPr>
        <w:tabs>
          <w:tab w:val="left" w:pos="1350"/>
        </w:tabs>
        <w:spacing w:before="6" w:line="247" w:lineRule="auto"/>
        <w:ind w:right="734"/>
        <w:rPr>
          <w:b/>
          <w:sz w:val="20"/>
        </w:rPr>
      </w:pPr>
      <w:r>
        <w:rPr>
          <w:b/>
          <w:color w:val="0E0E0E"/>
        </w:rPr>
        <w:t xml:space="preserve">     </w:t>
      </w:r>
      <w:r w:rsidR="00064792">
        <w:rPr>
          <w:b/>
          <w:color w:val="0E0E0E"/>
        </w:rPr>
        <w:t>8</w:t>
      </w:r>
      <w:r w:rsidR="002046ED">
        <w:rPr>
          <w:b/>
          <w:color w:val="0E0E0E"/>
        </w:rPr>
        <w:t xml:space="preserve">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Commission Meeting: </w:t>
      </w:r>
      <w:r w:rsidR="00317E67">
        <w:rPr>
          <w:color w:val="0E0E0E"/>
          <w:w w:val="105"/>
          <w:sz w:val="21"/>
        </w:rPr>
        <w:t>October 29</w:t>
      </w:r>
      <w:bookmarkStart w:id="0" w:name="_GoBack"/>
      <w:bookmarkEnd w:id="0"/>
      <w:r w:rsidR="002046ED" w:rsidRPr="002046ED">
        <w:rPr>
          <w:color w:val="0E0E0E"/>
          <w:w w:val="105"/>
          <w:sz w:val="21"/>
        </w:rPr>
        <w:t>, 2018 2:30-4:30 pm</w:t>
      </w:r>
      <w:r w:rsidR="0001633B">
        <w:rPr>
          <w:sz w:val="19"/>
        </w:rPr>
        <w:pict w14:anchorId="7DAED1F1">
          <v:line id="_x0000_s1051" style="position:absolute;z-index:251660288;mso-wrap-distance-left:0;mso-wrap-distance-right:0;mso-position-horizontal-relative:page;mso-position-vertical-relative:text" from="57.1pt,14.4pt" to="559.2pt,14.4pt" strokecolor="#4b4b4b" strokeweight=".25281mm">
            <w10:wrap type="topAndBottom" anchorx="page"/>
          </v:line>
        </w:pict>
      </w:r>
    </w:p>
    <w:p w14:paraId="38052578" w14:textId="77777777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01633B"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4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5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6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4792"/>
    <w:rsid w:val="000E5A2D"/>
    <w:rsid w:val="001079FD"/>
    <w:rsid w:val="00184A01"/>
    <w:rsid w:val="001C1AD1"/>
    <w:rsid w:val="001C4BC3"/>
    <w:rsid w:val="002046ED"/>
    <w:rsid w:val="0028176F"/>
    <w:rsid w:val="002B103B"/>
    <w:rsid w:val="002B2CC3"/>
    <w:rsid w:val="002D4BAE"/>
    <w:rsid w:val="002E2902"/>
    <w:rsid w:val="002F1538"/>
    <w:rsid w:val="00317E67"/>
    <w:rsid w:val="003500FF"/>
    <w:rsid w:val="0035366B"/>
    <w:rsid w:val="00366D9F"/>
    <w:rsid w:val="0038434F"/>
    <w:rsid w:val="00395C33"/>
    <w:rsid w:val="003A3705"/>
    <w:rsid w:val="003B38A4"/>
    <w:rsid w:val="003F6EC6"/>
    <w:rsid w:val="0040387E"/>
    <w:rsid w:val="00450AC7"/>
    <w:rsid w:val="0045332C"/>
    <w:rsid w:val="00490E50"/>
    <w:rsid w:val="004B0DDA"/>
    <w:rsid w:val="004F323E"/>
    <w:rsid w:val="0053516B"/>
    <w:rsid w:val="00547A8F"/>
    <w:rsid w:val="005D1A5B"/>
    <w:rsid w:val="005E34C2"/>
    <w:rsid w:val="00627D22"/>
    <w:rsid w:val="00644326"/>
    <w:rsid w:val="00655BCA"/>
    <w:rsid w:val="006A7A2B"/>
    <w:rsid w:val="006E2CE8"/>
    <w:rsid w:val="00705EAF"/>
    <w:rsid w:val="007334E3"/>
    <w:rsid w:val="00745042"/>
    <w:rsid w:val="00747231"/>
    <w:rsid w:val="00750B55"/>
    <w:rsid w:val="00753C4D"/>
    <w:rsid w:val="00756AE4"/>
    <w:rsid w:val="00765C6A"/>
    <w:rsid w:val="007A636F"/>
    <w:rsid w:val="007B0DDB"/>
    <w:rsid w:val="008162CF"/>
    <w:rsid w:val="00837A0D"/>
    <w:rsid w:val="008615E4"/>
    <w:rsid w:val="008E2283"/>
    <w:rsid w:val="008E24F7"/>
    <w:rsid w:val="008F604C"/>
    <w:rsid w:val="00915C8E"/>
    <w:rsid w:val="00990E9D"/>
    <w:rsid w:val="009A6D4E"/>
    <w:rsid w:val="009B30D5"/>
    <w:rsid w:val="00A713CF"/>
    <w:rsid w:val="00BF4DCC"/>
    <w:rsid w:val="00C25A11"/>
    <w:rsid w:val="00C31EAF"/>
    <w:rsid w:val="00CB4F1D"/>
    <w:rsid w:val="00D440D3"/>
    <w:rsid w:val="00D70E42"/>
    <w:rsid w:val="00D93451"/>
    <w:rsid w:val="00D96E88"/>
    <w:rsid w:val="00DB2568"/>
    <w:rsid w:val="00DC2A89"/>
    <w:rsid w:val="00DE27D0"/>
    <w:rsid w:val="00DF4818"/>
    <w:rsid w:val="00E5333D"/>
    <w:rsid w:val="00E55A3B"/>
    <w:rsid w:val="00EA33A2"/>
    <w:rsid w:val="00EA61EA"/>
    <w:rsid w:val="00F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CCAEA27-E0D3-4683-93FA-0F477D56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Suzi Kochems</cp:lastModifiedBy>
  <cp:revision>3</cp:revision>
  <cp:lastPrinted>2018-03-09T18:57:00Z</cp:lastPrinted>
  <dcterms:created xsi:type="dcterms:W3CDTF">2018-08-16T22:38:00Z</dcterms:created>
  <dcterms:modified xsi:type="dcterms:W3CDTF">2018-08-16T22:48:00Z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